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МЕЖГОСУДАРСТВЕННЫЙ СТАНДАРТ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ПЕРГАМЕНТ РАСТИТЕЛЬНЫЙ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ТЕХНИЧЕСКИЕ УСЛОВИЯ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VEGETABLE PARCHMENT. SPECIFICATIONS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98398C">
        <w:rPr>
          <w:rFonts w:ascii="Calibri" w:eastAsia="Times New Roman" w:hAnsi="Calibri" w:cs="Calibri"/>
          <w:b/>
          <w:bCs/>
          <w:sz w:val="20"/>
          <w:szCs w:val="20"/>
        </w:rPr>
        <w:t>ГОСТ 1341-97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ПРЕДИСЛОВИЕ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1. Разработан ОАО Центральным научно-исследовательским институтом бумаги, ТК 177 "Целлюлоза, бумага, картон и материалы промышленно-технические разного назначения".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Внесен Госстандартом России.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2. Принят Межгосударственным Советом по стандартизации, метрологии и сертификации (протокол N 11-97 от 23 апреля 1997 г.).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За принятие проголосовали:</w:t>
      </w:r>
    </w:p>
    <w:p w:rsidR="0098398C" w:rsidRPr="0098398C" w:rsidRDefault="0098398C" w:rsidP="0098398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Наименование государства      │ Наименование национального органа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                 │         по стандартизации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│Азербайджанская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Республика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│Азгосстандарт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  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│Республика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Армения   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│Армгосстандарт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 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│Республика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Белоруссия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│Госстандарт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Белоруссии 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│Республика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Казахстан 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│Госстандарт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Республики Казахстан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│Республика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Молдова   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│Молдовастандарт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│Российская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Федерация 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│Госстандарт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России     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│Туркменистан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 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│Главная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государственная инспекция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                 │Туркменистана          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3. Постановлением Государственного комитета Российской Федерации по стандартизации, метрологии и сертификации от 13 октября 1997 г. N 349 межгосударственный стандарт ГОСТ 1341-97 введен в действие непосредственно в качестве государственного стандарта Российской Федерации с 1 января 1998 г.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4. Взамен ГОСТ 1341-84.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1. ОБЛАСТЬ ПРИМЕНЕНИЯ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 xml:space="preserve">Настоящий стандарт распространяется на растительный пергамент, предназначенный для упаковывания пищевых продуктов, перевязочных материалов, изделий медицинской промышленности и другой продукции, требующей влагонепроницаемой и жиронепроницаемой упаковки, для хозяйственно-бытовых нужд и используемый в качестве основы для </w:t>
      </w:r>
      <w:proofErr w:type="spellStart"/>
      <w:r w:rsidRPr="0098398C">
        <w:rPr>
          <w:rFonts w:ascii="Calibri" w:eastAsia="Times New Roman" w:hAnsi="Calibri" w:cs="Calibri"/>
          <w:sz w:val="20"/>
          <w:szCs w:val="20"/>
        </w:rPr>
        <w:t>каширования</w:t>
      </w:r>
      <w:proofErr w:type="spellEnd"/>
      <w:r w:rsidRPr="0098398C">
        <w:rPr>
          <w:rFonts w:ascii="Calibri" w:eastAsia="Times New Roman" w:hAnsi="Calibri" w:cs="Calibri"/>
          <w:sz w:val="20"/>
          <w:szCs w:val="20"/>
        </w:rPr>
        <w:t xml:space="preserve"> фольгой, </w:t>
      </w:r>
      <w:proofErr w:type="spellStart"/>
      <w:r w:rsidRPr="0098398C">
        <w:rPr>
          <w:rFonts w:ascii="Calibri" w:eastAsia="Times New Roman" w:hAnsi="Calibri" w:cs="Calibri"/>
          <w:sz w:val="20"/>
          <w:szCs w:val="20"/>
        </w:rPr>
        <w:t>ламинирования</w:t>
      </w:r>
      <w:proofErr w:type="spellEnd"/>
      <w:r w:rsidRPr="0098398C">
        <w:rPr>
          <w:rFonts w:ascii="Calibri" w:eastAsia="Times New Roman" w:hAnsi="Calibri" w:cs="Calibri"/>
          <w:sz w:val="20"/>
          <w:szCs w:val="20"/>
        </w:rPr>
        <w:t xml:space="preserve"> и т.д., а также для технических и других целей.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Обязательные требования к качеству пергамента изложены в 4.1.2 (таблица 2): показатели 2, 3, 4, 5; 4.1.8, к методам испытаний пергамента на соответствие обязательным требованиям - в разд. 4 и 6.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2. НОРМАТИВНЫЕ ССЫЛКИ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В настоящем стандарте использованы ссылки на следующие нормативные документы: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1641-75. Бумага. Упаковка, маркировка, транспортирование и хранение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1770-74. Посуда мерная лабораторная стеклянная. Цилиндры, мензурки, колбы, пробирки.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4328-77. Натрия гидроокись.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6038-79. Д-глюкоза.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6709-72. Вода дистиллированная.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7687-88. Бумага и картон. Метод определения числа вкраплений железа и меди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8047-93. Бумага и картон. Правила приемки. Отбор проб для определения среднего качества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lastRenderedPageBreak/>
        <w:t>ГОСТ 8434-77. Бумага. Метод определения массовой доли мышьяка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12026-76. Бумага фильтровальная лабораторная.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 xml:space="preserve">ГОСТ 12523-77. Целлюлоза, бумага и картон. Метод определения величины </w:t>
      </w:r>
      <w:proofErr w:type="spellStart"/>
      <w:r w:rsidRPr="0098398C">
        <w:rPr>
          <w:rFonts w:ascii="Calibri" w:eastAsia="Times New Roman" w:hAnsi="Calibri" w:cs="Calibri"/>
          <w:sz w:val="20"/>
          <w:szCs w:val="20"/>
        </w:rPr>
        <w:t>pH</w:t>
      </w:r>
      <w:proofErr w:type="spellEnd"/>
      <w:r w:rsidRPr="0098398C">
        <w:rPr>
          <w:rFonts w:ascii="Calibri" w:eastAsia="Times New Roman" w:hAnsi="Calibri" w:cs="Calibri"/>
          <w:sz w:val="20"/>
          <w:szCs w:val="20"/>
        </w:rPr>
        <w:t xml:space="preserve"> водной вытяжки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13199-88. Полуфабрикаты волокнистые, бумага и картон. Метод определения массы продукции площадью 1 кв. м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13346-72. Бумага. Метод определения массовой доли свинца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13523-78. Полуфабрикаты волокнистые, бумага и картон. Метод кондиционирования образцов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13525.1-79. Полуфабрикаты волокнистые, бумага и картон. Методы определения прочности на разрыв и удлинения при растяжении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 xml:space="preserve">ГОСТ 13525.5-68. Бумага и картон. Метод определения </w:t>
      </w:r>
      <w:proofErr w:type="spellStart"/>
      <w:r w:rsidRPr="0098398C">
        <w:rPr>
          <w:rFonts w:ascii="Calibri" w:eastAsia="Times New Roman" w:hAnsi="Calibri" w:cs="Calibri"/>
          <w:sz w:val="20"/>
          <w:szCs w:val="20"/>
        </w:rPr>
        <w:t>внутрирулонных</w:t>
      </w:r>
      <w:proofErr w:type="spellEnd"/>
      <w:r w:rsidRPr="0098398C">
        <w:rPr>
          <w:rFonts w:ascii="Calibri" w:eastAsia="Times New Roman" w:hAnsi="Calibri" w:cs="Calibri"/>
          <w:sz w:val="20"/>
          <w:szCs w:val="20"/>
        </w:rPr>
        <w:t xml:space="preserve"> дефектов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 xml:space="preserve">ГОСТ 13525.7-68. Бумага и картон. Методы определения </w:t>
      </w:r>
      <w:proofErr w:type="spellStart"/>
      <w:r w:rsidRPr="0098398C">
        <w:rPr>
          <w:rFonts w:ascii="Calibri" w:eastAsia="Times New Roman" w:hAnsi="Calibri" w:cs="Calibri"/>
          <w:sz w:val="20"/>
          <w:szCs w:val="20"/>
        </w:rPr>
        <w:t>влагопрочности</w:t>
      </w:r>
      <w:proofErr w:type="spellEnd"/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13525.8-86. Полуфабрикаты волокнистые, бумага и картон. Метод определения сопротивления продавливанию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 xml:space="preserve">ГОСТ 13525.13-69. Бумага. Методы определения </w:t>
      </w:r>
      <w:proofErr w:type="spellStart"/>
      <w:r w:rsidRPr="0098398C">
        <w:rPr>
          <w:rFonts w:ascii="Calibri" w:eastAsia="Times New Roman" w:hAnsi="Calibri" w:cs="Calibri"/>
          <w:sz w:val="20"/>
          <w:szCs w:val="20"/>
        </w:rPr>
        <w:t>жиропроницаемости</w:t>
      </w:r>
      <w:proofErr w:type="spellEnd"/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13525.19-21. Бумага и картон. Определение влажности. Метод высушивания в сушильном шкафу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17308-88. Шпагаты.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21102-80. Бумага и картон. Методы определения размеров и косины листа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24104-88. Весы лабораторные общего назначения и образцовые. Общие технические условия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25336-82. Посуда и оборудование лабораторные стеклянные. Типы, основные параметры и размеры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28498-90. Термометры жидкостные стеклянные. Общие технические условия. Методы испытаний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ГОСТ 30113-94. Бумага и картон. Метод определения белизны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3. ОСНОВНЫЕ ПАРАМЕТРЫ, МАРКИ И РАЗМЕРЫ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3.1. В зависимости от применяемости и показателей качества пергамент должен изготовляться следующих групп и марок, указанных в таблице 1.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Таблица 1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588"/>
        <w:gridCol w:w="2221"/>
        <w:gridCol w:w="5616"/>
      </w:tblGrid>
      <w:tr w:rsidR="0098398C" w:rsidRPr="0098398C" w:rsidTr="0098398C">
        <w:trPr>
          <w:cantSplit/>
          <w:trHeight w:val="3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Группа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пергамента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Марка пергамента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Применяемость               </w:t>
            </w:r>
          </w:p>
        </w:tc>
      </w:tr>
      <w:tr w:rsidR="0098398C" w:rsidRPr="0098398C" w:rsidTr="0098398C">
        <w:trPr>
          <w:cantSplit/>
          <w:trHeight w:val="84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Пищевой 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А,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 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60 - 68 г     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Для упаковывания пищевых продуктов,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сливоч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-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ного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 масла, маргариновой продукции и других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пищевых жиров монолитом, автоматического и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ручного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фасования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, запекания, а также для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упаковывания пищевых продуктов в заморожен-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ном виде                                    </w:t>
            </w:r>
          </w:p>
        </w:tc>
      </w:tr>
      <w:tr w:rsidR="0098398C" w:rsidRPr="0098398C" w:rsidTr="0098398C">
        <w:trPr>
          <w:cantSplit/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Б,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 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53 - 59 г;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В,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 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47 - 52 г     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Для упаковывания, автоматического и ручного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фасования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 сливочного масла, маргариновой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продукции и других пищевых жиров, концентра-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тов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творожно-сырковых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, кондитерских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изделий, а также других пищевых продуктов,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содержащих жиры и влагу, и для упаковывания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пищевых продуктов в замороженном виде      </w:t>
            </w:r>
          </w:p>
        </w:tc>
      </w:tr>
      <w:tr w:rsidR="0098398C" w:rsidRPr="0098398C" w:rsidTr="0098398C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О,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 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35 - 75 г     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В качестве прокладок при упаковывании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пищевых продуктов в крупногабаритную тару,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для ручного 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фасования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 пищевых продуктов,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хозяйственно-бытовых нужд и других целей   </w:t>
            </w:r>
          </w:p>
        </w:tc>
      </w:tr>
      <w:tr w:rsidR="0098398C" w:rsidRPr="0098398C" w:rsidTr="0098398C">
        <w:trPr>
          <w:cantSplit/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Медицинский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М,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 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53 - 59 г     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Для упаковывания перевязочных материалов и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изделий медицинской промышленности, в том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числе подлежащих стерилизации              </w:t>
            </w:r>
          </w:p>
        </w:tc>
      </w:tr>
      <w:tr w:rsidR="0098398C" w:rsidRPr="0098398C" w:rsidTr="0098398C">
        <w:trPr>
          <w:cantSplit/>
          <w:trHeight w:val="8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Дуплекс 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Д,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 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38 - 46 г     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В качестве основы для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металлизирования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,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каширования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ламинирования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силиконизирова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-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, а также для упаковывания пищевых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продуктов, требующих влагонепроницаемой и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жиронепроницаемой упаковки, для технических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и других целей                              </w:t>
            </w:r>
          </w:p>
        </w:tc>
      </w:tr>
      <w:tr w:rsidR="0098398C" w:rsidRPr="0098398C" w:rsidTr="0098398C">
        <w:trPr>
          <w:cantSplit/>
          <w:trHeight w:val="6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Натуральный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К,            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масса пергамента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площадью 1 кв. м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50 - 60 г     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398C" w:rsidRPr="0098398C" w:rsidRDefault="0098398C" w:rsidP="009839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Для </w:t>
            </w:r>
            <w:proofErr w:type="spellStart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>выстилания</w:t>
            </w:r>
            <w:proofErr w:type="spellEnd"/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t xml:space="preserve"> изнутри металлических банок  </w:t>
            </w:r>
            <w:r w:rsidRPr="0098398C">
              <w:rPr>
                <w:rFonts w:ascii="Calibri" w:eastAsia="Times New Roman" w:hAnsi="Calibri" w:cs="Calibri"/>
                <w:sz w:val="20"/>
                <w:szCs w:val="20"/>
              </w:rPr>
              <w:br/>
              <w:t>при консервировании крабов                 </w:t>
            </w:r>
          </w:p>
        </w:tc>
      </w:tr>
    </w:tbl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3.2. Пергамент должен изготовляться в рулонах и листах. Предельные отклонения не должны превышать: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+/- 5 мм - по ширине рулона;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+/- 3 мм - по размерам листового пергамента;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+/- 50 мм - по диаметру рулона.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3.3. Номинальная ширина и диаметр рулонов, размеры листового пергамента устанавливаются по согласованию между изготовителем и потребителем.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3.4. Условное обозначение пергамента должно состоять из слова "Пергамент", марки, наименования группы, массы пергамента площадью 1 кв. м, обозначения настоящего стандарта.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Пример условного обозначения пергамента марки Б, пищевого, массой 56 г, площадью 1 кв. м: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Пергамент Б пищевой 56 ГОСТ 1341-97.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4. ТЕХНИЧЕСКИЕ ТРЕБОВАНИЯ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4.1. Характеристики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4.1.1. Пергамент должен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4.1.2. Показатели качества пергамента должны соответствовать нормам, указанным в таблице 2.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Таблица 2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br w:type="page"/>
      </w:r>
      <w:r w:rsidRPr="0098398C">
        <w:rPr>
          <w:rFonts w:ascii="Calibri" w:eastAsia="Times New Roman" w:hAnsi="Calibri" w:cs="Calibri"/>
          <w:sz w:val="20"/>
          <w:szCs w:val="20"/>
        </w:rPr>
        <w:lastRenderedPageBreak/>
        <w:t> 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┬─────────────┐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Наименование    │               Норма для пергамента группы и марки                │    Метод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показателя     ├─────────────────────────────────┬───────────┬────────┬───────────┤  испытания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 xml:space="preserve">│                   │             Пищевой             │Медицинский│Дуплекс 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│Натуральный│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├────────┬────────┬──────┬────────┼───────────┼────────┼───────────┤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А    │   Б    │  В   │   О    │     М     │   Д    │     К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┼────────┼────────┼──────┼────────┼───────────┼────────┼───────────┼─────────────┤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│1. Масса пергамента│64 +/- 4│56 +/- 3│  + 2 │40 +/- 5│56 +/- 3   │40 +/- 2│55 +/- 5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ГОСТ 13199│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│площадью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1 кв. м,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г│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│        │50    │50 +/- 5│           │44 +/- 2│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- 3 │60 +/- 5│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    │70 +/- 5│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│2. Разрывная длина,│        │        │      │        │           │        │           │По ГОСТ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│м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не менее:       │        │        │      │        │           │        │           │13525.1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 в машинном       │6000    │7100    │7700  │3500    │7700       │5700    │6800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│направлении  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 в поперечном     │3000    │4100    │3800  │-       │4100       │3500    │4200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│направлении  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│3. Относительное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│сопротивление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│продавливанию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кПа,│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менее:    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 сухого           │270     │310     │290   │200     │310        │240     │-          │По ГОСТ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    │        │           │        │           │13525.8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 влажного         │110     │130     │110   │90      │130        │100     │-          │По ГОСТ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    │        │           │        │           │13525.7 и 6.4│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    │        │           │        │           │настоящего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    │        │           │        │           │стандарта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│4. Жиропрони-      │        │        │      │        │           │        │           │По ГОСТ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lastRenderedPageBreak/>
        <w:t>│цаемость:          │        │        │      │        │           │        │           │13525.13,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│        │      │        │           │        │           │раздел 2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│число  сквозных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│отверстий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на 1 кв. 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│м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не более: 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 размером         │50      │75      │100   │-       │75         │150     │50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│менее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0,1 мм включ.│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 размером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допускаются          │-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допускаются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│более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0,1 мм       │                        │        │              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│число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допускаются          │-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допускаются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│просвечивающих     │                        │        │              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│крапинок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размером  │                        │        │              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│более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1 мм в       │                        │        │              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│наибольшем         │                        │        │              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│измерении          │                        │        │                     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 xml:space="preserve">│5. 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рН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х.э. водной  │                      5,5 - 8,0                       │4,0 - 7,5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ГОСТ 12523│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│вытяжки            │                                              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│6. Массовая доля   │                         0,0001                       │           │По ГОСТ 8434 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│мышьяка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%, не     │                                              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│более              │                                              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│7. Массовая доля   │                         0,002                        │           │По ГОСТ 13346│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│свинца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%, не более│                                              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│8. Металлические   │                                                      │           │По ГОСТ 7687 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│вкрапления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шт., не│                                              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│более:             │                                              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│- железа           │                         10                           │-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lastRenderedPageBreak/>
        <w:t>│- меди             │                         0                            │-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│9. Белизна, %,     │70,0    │70,0    │70,0  │-       │-          │-       │-          │По ГОСТ 30113│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менее     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│10. Массовая доля  │-       │-       │-     │-       │-          │-       │0,8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│веществ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раствори- 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│мых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в щелочном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│растворе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, % (в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│пересчете на       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│глюкозу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>), не более │        │        │      │        │           │        │           │       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│11. Влажность, %   │                        7,0 - 9,0                                 </w:t>
      </w:r>
      <w:proofErr w:type="spellStart"/>
      <w:r w:rsidRPr="0098398C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98398C">
        <w:rPr>
          <w:rFonts w:ascii="Courier New" w:eastAsia="Times New Roman" w:hAnsi="Courier New" w:cs="Courier New"/>
          <w:sz w:val="20"/>
          <w:szCs w:val="20"/>
        </w:rPr>
        <w:t xml:space="preserve"> ГОСТ 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                                                          │13525.19,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│                   │                                                                  │раздел 3     │</w:t>
      </w:r>
    </w:p>
    <w:p w:rsidR="0098398C" w:rsidRPr="0098398C" w:rsidRDefault="0098398C" w:rsidP="0098398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8398C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┴────────┴────────┴──────┴────────┴───────────┴────────┴───────────┴─────────────┘</w:t>
      </w:r>
    </w:p>
    <w:p w:rsidR="0098398C" w:rsidRPr="0098398C" w:rsidRDefault="0098398C" w:rsidP="0098398C">
      <w:pPr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sz w:val="20"/>
          <w:szCs w:val="20"/>
        </w:rPr>
        <w:br w:type="page"/>
      </w:r>
      <w:r w:rsidRPr="0098398C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4.1.3. Растительный пергамент должен быть изготовлен из беленых видов целлюлозы. Допускается использовать взамен беленых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полубеленые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виды целлюлозы при условии соответствия показателей качества пергамента требованиям настоящего стандарта.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Пергамент марки К должен быть изготовлен из 100% сульфатной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предгидролизной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целлюлозы по нормативному документу по стандартизации.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Пергамент может изготовляться окрашенным, с нанесением печати и без нее.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4.1.4. В пергаменте не допускаются складки, полосы, разрывы и деформированные кромки.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В рулонном пергаменте допускаются малозаметные складки, полосы и деформированные кромки, если показатель этих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внутрирулонных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дефектов, определенный по ГОСТ 13525.5, не превышает 2%.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4.1.5. Обрез кромок рулонного и листового пергамента должен быть ровным и чистым.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4.1.6. Плотность намотки должна быть равномерной по всей ширине рулона. Рулоны пергамента должны легко и полностью разматываться.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4.1.7. В рулоне допускается не более трех обрывов, для пергамента марки О - не более пяти. Концы полотна пергамента в местах обрывов не склеивают, а обозначают цветными сигналами, видимыми с торца рулона. По требованию потребителя концы пергамента могут быть склеены и обозначены цветными сигналами.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4.1.8. Составляющие вещества (материалы) в композиции пергамента должны быть разрешены для применения при контакте с пищевыми продуктами национальными органами санитарно-эпидемиологического надзора. Перечень проверяемых органами санитарно-эпидемиологического надзора санитарно-химических показателей (гигиенических характеристик) представлен в Приложении к настоящему стандарту.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4.2. Упаковка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4.2.1. Пергамент упаковывают по ГОСТ 1641 со следующими дополнениями: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4.2.1.1. Рулоны допускается упаковывать в картон массой площади 1 кв. м не менее 150 г не менее чем в три слоя со сплошной склейкой всех слоев. При упаковывании торцов рулона на каждый торец должны быть положены два круга картона, а на загнутые концы упаковки наклеен один круг картона.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4.2.1.2. При упаковывании рулонов массой до 20 кг слои оберточной бумаги не склеивают между собой, а завернутый рулон обвязывают шпагатом по ГОСТ 17308.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4.2.1.3. Пергамент упаковывают в пачки без подложки картона под оберточную бумагу. Концы упаковочного материала должны быть загнуты за торец пачки, заклеены ярлыком и обвязаны шпагатом по ГОСТ 17308.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4.3. Маркировка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4.3.1. Пергамент маркируют по ГОСТ 1641 со следующими дополнениями: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4.3.1.1. Маркировка пергамента должна содержать обозначение национального знака соответствия для сертифицируемой продукции.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Знак соответствия наносят на торец неупакованного и упакованного рулона. Для листового пергамента знак соответствия наносят на ярлык.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5. ПРАВИЛА ПРИЕМКИ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5.1. Определение партии и объем выборок - по ГОСТ 8047.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За партию принимается любое количество пергамента одной группы и марки, оформленное одним товаросопроводительным документом и документом о качестве по ГОСТ 8047.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5.2. Проверку пергамента по показателям (гигиеническим характеристикам) в соответствии с 4.1.8 изготовитель организует периодически, при приемочных, сертификационных и арбитражных испытаниях.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5.3. При получении неудовлетворительных результатов испытаний хотя бы по одному показателю проводят повторные испытания (по данному показателю) на удвоенной выборке. Результаты повторных испытаний распространяются на всю партию.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 МЕТОДЫ КОНТРОЛЯ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Методы контроля пергамента - в соответствии с разделом 4 и требованиями настоящего раздела.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6.1. Отбор проб и подготовка к испытанию - по ГОСТ 8047.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6.2. Кондиционирование пергамента перед испытанием - по ГОСТ 13523 при относительной влажности воздуха (50 +/- 2)% и температуре (23 +/- 1) °С. Продолжительность кондиционирования - не менее 2 ч. Испытания пергамента проводят в тех же условиях.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6.3. Определение ширины рулонов, размеров листов пергамента, диаметра рулона - по ГОСТ 21102.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6.4. При определении показателя относительного сопротивления продавливанию во влажном состоянии вырезают образцы размером (70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х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70) мм; время выдерживания образцов в воде (900 +/- 1) с; отжим проводится отжимным металлическим валиком длиной 100 мм и массой (5,0 +/- 0,1) кг.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6.5. Определение массовой доли веществ, растворимых в щелочном растворе, в пересчете на глюкозу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Метод основан на определении массовой доли веществ, вызывающих изменение цвета щелочной вытяжки пергамента, путем измерения оптической плотности вытяжки на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фотоэлектроколориметре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при синем светофильтре.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6.5.1. Аппаратура и растворы: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фотоэлектроколориметр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любой марки по нормативной документации;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колбы Кн-2-250-34 ТХС или Кн-1-250-24/29 ТХС по ГОСТ 25336;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холодильник ХПТ-3-300 ХС или ХПТ-2-400-29/23 ХС по ГОСТ 25336;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колбы 2-100-2 и 2-200-2 по ГОСТ 1770;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весы лабораторные общего назначения по ГОСТ 24104 с наибольшим пределом взвешивания 200 г с погрешностью не более 0,0002 г и с наибольшим пределом взвешивания 500 г с погрешностью взвешивания не более 0,02 г;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гидроксид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натрия по ГОСТ 4328, ч.д.а., раствор с массовой долей 0,5 и 1%;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бюретка по нормативной документации;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Д-глюкоза безводная по ГОСТ 6038, х.ч., стандартный раствор глюкозы массовой концентрации 5 мг/куб. см;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вода дистиллированная по ГОСТ 6709;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бумага фильтровальная лабораторная по ГОСТ 12026.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6.5.2. Подготовка к испытанию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Стандартный раствор глюкозы готовят следующим образом: 1 г глюкозы, предварительно высушенной при 100 - 105 °С до постоянной массы, взвешивают с погрешностью не более 0,0002 г, количественно переносят в коническую колбу вместимостью 250 куб. см, заливают 100 куб. см раствора с массовой долей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гидроксида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натрия 1% и закрывают холодильником, доводят до кипения и кипятят в течение 30 мин. После кипячения раствор охлаждают, переносят в мерную колбу вместимостью 200 куб. см, доводят объем раствора дистиллированной водой до метки и перемешивают.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6.5.3. Для построения калибровочного графика готовят серию из девяти растворов с массовой концентрацией глюкозы от 0,0250 до 0,1250 мг/куб. см. Для этого в сухие мерные колбы вместимостью 100 куб. см с помощью бюретки наливают стандартный раствор глюкозы в объемах, приведенных в таблице 3, и доливают до метки раствором с массовой долей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гидроксида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натрия 0,5%.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Таблица 3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┌────────────────────┬────────────────────┬──────────────────────┐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 Номер мерной колбы │ Объем стандартного </w:t>
      </w:r>
      <w:proofErr w:type="spellStart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│Массовая</w:t>
      </w:r>
      <w:proofErr w:type="spellEnd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концентрация 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                    │ раствора, куб. см  │ глюкозы, мг/куб. см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├────────────────────┼────────────────────┼──────────────────────┤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│1                   │0,50                │0,0250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│2                   │0,75                │0,0375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│3                   │1,00                │0,0500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│4                   │1,25                │0,0625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│5                   │1,50                │0,0750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│6                   │1,75                │0,0875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│7                   │2,00                │0,1000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│8                   │2,25                │0,1125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│9                   │2,50                │0,1250                │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└────────────────────┴────────────────────┴──────────────────────┘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В колбу для контрольной пробы наливают раствор с массовой долей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гидроксида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натрия 0,5%.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Содержимое колб перемешивают и измеряют оптическую плотность раствора относительно контрольной пробы на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фотоэлектроколориметре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при длине волны лямбда = 400 нм (синий светофильтр) и толщине слоя раствора в кювете 50 мм.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Строят   график   зависимости   оптической   плотности  D  от  массовой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концентрации глюкозы в растворе С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х.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Значение оптической плотности стандартных растворов откладывают по оси ординат, а соответствующую этим значениям массовую концентрацию глюкозы (мг/куб. см) - по оси абсцисс.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6.5.4. Проведение испытания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Навеску воздушно-сухого пергамента массой 2 г, взятую из отобранной объединенной пробы, нарезают на кусочки размером приблизительно 10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х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10 мм и взвешивают с погрешностью не более 0,01 г.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Навеску помещают в коническую плоскодонную колбу вместимостью 250 куб. см и заливают 100 куб. см раствора с массовой долей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гидроксида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натрия 1%. Колбу закрывают холодильником и быстро доводят до кипения, которое поддерживают в течение 30 мин. с момента закипания. По окончании кипячения раствор охлаждают и переносят в мерную колбу вместимостью 200 куб. см. Пергамент несколько раз споласкивают дистиллированной водой, которую сливают в ту же колбу, доводят объем раствора дистиллированной водой до метки и перемешивают. При наличии в растворе волокон раствор фильтруют через бумажный фильтр и сразу же измеряют оптическую плотность.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Оптическую плотность раствора измеряют на </w:t>
      </w:r>
      <w:proofErr w:type="spellStart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>фотоэлектроколориметре</w:t>
      </w:r>
      <w:proofErr w:type="spellEnd"/>
      <w:r w:rsidRPr="0098398C">
        <w:rPr>
          <w:rFonts w:ascii="Calibri" w:eastAsia="Times New Roman" w:hAnsi="Calibri" w:cs="Calibri"/>
          <w:color w:val="000000"/>
          <w:sz w:val="20"/>
          <w:szCs w:val="20"/>
        </w:rPr>
        <w:t xml:space="preserve"> относительно контрольной пробы.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По найденному значению оптической плотности с помощью калибровочного графика определяют массовую долю глюкозы в испытуемой пробе.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6.5.5. Обработка результатов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Массовую долю веществ, растворимых в щелочной вытяжке пергамента, в пересчете на глюкозу С, %, вычисляют по формуле: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С  </w:t>
      </w:r>
      <w:proofErr w:type="spellStart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spellEnd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</w:t>
      </w:r>
      <w:proofErr w:type="spellStart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spellEnd"/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С = -------,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</w:t>
      </w:r>
      <w:proofErr w:type="spellStart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proofErr w:type="spellEnd"/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где: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С  - массовая доля глюкозы,  определенная  по  калибровочному  графику,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 </w:t>
      </w:r>
      <w:proofErr w:type="spellStart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spellEnd"/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мг/куб. см;</w:t>
      </w:r>
    </w:p>
    <w:p w:rsidR="0098398C" w:rsidRPr="0098398C" w:rsidRDefault="0098398C" w:rsidP="00983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proofErr w:type="spellStart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proofErr w:type="spellEnd"/>
      <w:r w:rsidRPr="0098398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масса навески воздушно-сухого пергамента, г.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За результат принимают среднее арифметическое двух параллельных определений, округленное до 0,05.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Абсолютная погрешность метода не должна превышать +/- 0,04% при доверительной вероятности Р = 0,95.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7. ТРАНСПОРТИРОВАНИЕ И ХРАНЕНИЕ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7.1. Транспортирование и хранение - по ГОСТ 1641.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98398C" w:rsidRPr="0098398C" w:rsidRDefault="0098398C" w:rsidP="009839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398C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183110" w:rsidRPr="0098398C" w:rsidRDefault="00183110">
      <w:pPr>
        <w:rPr>
          <w:sz w:val="20"/>
          <w:szCs w:val="20"/>
        </w:rPr>
      </w:pPr>
    </w:p>
    <w:sectPr w:rsidR="00183110" w:rsidRPr="0098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8398C"/>
    <w:rsid w:val="00183110"/>
    <w:rsid w:val="0098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98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8398C"/>
  </w:style>
  <w:style w:type="character" w:customStyle="1" w:styleId="apple-converted-space">
    <w:name w:val="apple-converted-space"/>
    <w:basedOn w:val="a0"/>
    <w:rsid w:val="0098398C"/>
  </w:style>
  <w:style w:type="paragraph" w:customStyle="1" w:styleId="tehnormanonformat">
    <w:name w:val="tehnormanonformat"/>
    <w:basedOn w:val="a"/>
    <w:rsid w:val="0098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hnormacell">
    <w:name w:val="tehnormacell"/>
    <w:basedOn w:val="a"/>
    <w:rsid w:val="0098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3575</Words>
  <Characters>20383</Characters>
  <Application>Microsoft Office Word</Application>
  <DocSecurity>0</DocSecurity>
  <Lines>169</Lines>
  <Paragraphs>47</Paragraphs>
  <ScaleCrop>false</ScaleCrop>
  <Company>Grizli777</Company>
  <LinksUpToDate>false</LinksUpToDate>
  <CharactersWithSpaces>23911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2014-06-06T09:44:00Z</dcterms:created>
  <dcterms:modified xsi:type="dcterms:W3CDTF">2014-06-06T09:46:00Z</dcterms:modified>
</cp:coreProperties>
</file>